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FC" w:rsidRDefault="004515FC"/>
    <w:p w:rsidR="004515FC" w:rsidRDefault="004515FC"/>
    <w:p w:rsidR="004515FC" w:rsidRDefault="004515FC"/>
    <w:p w:rsidR="004515FC" w:rsidRDefault="004515FC"/>
    <w:p w:rsidR="004515FC" w:rsidRDefault="004515FC"/>
    <w:p w:rsidR="004515FC" w:rsidRDefault="004515FC"/>
    <w:tbl>
      <w:tblPr>
        <w:tblW w:w="0" w:type="auto"/>
        <w:tblLayout w:type="fixed"/>
        <w:tblCellMar>
          <w:left w:w="70" w:type="dxa"/>
          <w:right w:w="70" w:type="dxa"/>
        </w:tblCellMar>
        <w:tblLook w:val="0000" w:firstRow="0" w:lastRow="0" w:firstColumn="0" w:lastColumn="0" w:noHBand="0" w:noVBand="0"/>
      </w:tblPr>
      <w:tblGrid>
        <w:gridCol w:w="3472"/>
        <w:gridCol w:w="3402"/>
      </w:tblGrid>
      <w:tr w:rsidR="00485FF1" w:rsidRPr="00D221D5">
        <w:tc>
          <w:tcPr>
            <w:tcW w:w="3472" w:type="dxa"/>
          </w:tcPr>
          <w:p w:rsidR="00485FF1" w:rsidRDefault="009106C9" w:rsidP="00D15FAA">
            <w:pPr>
              <w:tabs>
                <w:tab w:val="left" w:pos="1080"/>
              </w:tabs>
              <w:rPr>
                <w:lang w:eastAsia="en-US"/>
              </w:rPr>
            </w:pPr>
            <w:r>
              <w:t>Številka knjiženja:</w:t>
            </w:r>
          </w:p>
        </w:tc>
        <w:tc>
          <w:tcPr>
            <w:tcW w:w="3402" w:type="dxa"/>
          </w:tcPr>
          <w:p w:rsidR="00485FF1" w:rsidRDefault="00C819FA" w:rsidP="00D15FAA">
            <w:pPr>
              <w:tabs>
                <w:tab w:val="left" w:pos="1080"/>
              </w:tabs>
              <w:rPr>
                <w:b/>
              </w:rPr>
            </w:pPr>
            <w:r>
              <w:rPr>
                <w:b/>
              </w:rPr>
              <w:t>465-08-0032</w:t>
            </w:r>
            <w:r w:rsidR="009106C9">
              <w:rPr>
                <w:b/>
              </w:rPr>
              <w:t>/20</w:t>
            </w:r>
            <w:r>
              <w:rPr>
                <w:b/>
              </w:rPr>
              <w:t>13</w:t>
            </w:r>
          </w:p>
        </w:tc>
      </w:tr>
      <w:tr w:rsidR="00485FF1" w:rsidRPr="00D221D5">
        <w:tc>
          <w:tcPr>
            <w:tcW w:w="3472" w:type="dxa"/>
          </w:tcPr>
          <w:p w:rsidR="00485FF1" w:rsidRPr="00C40C27" w:rsidRDefault="00485FF1" w:rsidP="00D15FAA">
            <w:pPr>
              <w:tabs>
                <w:tab w:val="left" w:pos="1080"/>
              </w:tabs>
            </w:pPr>
            <w:r w:rsidRPr="00B34131">
              <w:rPr>
                <w:rFonts w:cs="Arial"/>
              </w:rPr>
              <w:t>Zaporedna številka javnega naročila</w:t>
            </w:r>
            <w:r>
              <w:rPr>
                <w:rFonts w:cs="Arial"/>
              </w:rPr>
              <w:t>:</w:t>
            </w:r>
          </w:p>
        </w:tc>
        <w:tc>
          <w:tcPr>
            <w:tcW w:w="3402" w:type="dxa"/>
          </w:tcPr>
          <w:p w:rsidR="00485FF1" w:rsidRPr="00D221D5" w:rsidRDefault="009106C9" w:rsidP="00D15FAA">
            <w:pPr>
              <w:tabs>
                <w:tab w:val="left" w:pos="1080"/>
              </w:tabs>
              <w:rPr>
                <w:b/>
              </w:rPr>
            </w:pPr>
            <w:r>
              <w:rPr>
                <w:b/>
              </w:rPr>
              <w:t>JNMV-1269/2013-POG</w:t>
            </w:r>
          </w:p>
        </w:tc>
      </w:tr>
      <w:tr w:rsidR="00485FF1" w:rsidRPr="00C40C27">
        <w:tc>
          <w:tcPr>
            <w:tcW w:w="3472" w:type="dxa"/>
          </w:tcPr>
          <w:p w:rsidR="00485FF1" w:rsidRPr="00C40C27" w:rsidRDefault="00485FF1" w:rsidP="00D15FAA">
            <w:pPr>
              <w:tabs>
                <w:tab w:val="left" w:pos="1080"/>
              </w:tabs>
            </w:pPr>
            <w:r>
              <w:rPr>
                <w:lang w:eastAsia="en-US"/>
              </w:rPr>
              <w:t>Datum:</w:t>
            </w:r>
          </w:p>
        </w:tc>
        <w:tc>
          <w:tcPr>
            <w:tcW w:w="3402" w:type="dxa"/>
          </w:tcPr>
          <w:p w:rsidR="00485FF1" w:rsidRPr="00D221D5" w:rsidRDefault="009106C9" w:rsidP="00D15FAA">
            <w:pPr>
              <w:tabs>
                <w:tab w:val="left" w:pos="1080"/>
              </w:tabs>
              <w:rPr>
                <w:b/>
              </w:rPr>
            </w:pPr>
            <w:r>
              <w:rPr>
                <w:b/>
              </w:rPr>
              <w:t>4.12.2013</w:t>
            </w:r>
          </w:p>
        </w:tc>
      </w:tr>
    </w:tbl>
    <w:p w:rsidR="00485FF1" w:rsidRPr="00A14B85" w:rsidRDefault="00485FF1" w:rsidP="00485FF1"/>
    <w:p w:rsidR="009106C9" w:rsidRDefault="009106C9" w:rsidP="009106C9">
      <w:pPr>
        <w:ind w:right="139"/>
        <w:rPr>
          <w:rFonts w:cs="Arial"/>
        </w:rPr>
      </w:pPr>
    </w:p>
    <w:p w:rsidR="004515FC" w:rsidRDefault="004515FC" w:rsidP="009106C9">
      <w:pPr>
        <w:ind w:right="139"/>
        <w:rPr>
          <w:rFonts w:cs="Arial"/>
        </w:rPr>
      </w:pPr>
    </w:p>
    <w:p w:rsidR="009106C9" w:rsidRDefault="009106C9" w:rsidP="009106C9">
      <w:pPr>
        <w:pStyle w:val="Naslov1"/>
      </w:pPr>
      <w:r>
        <w:t>POVABILO  K  ODDAJI  PONUDBE</w:t>
      </w:r>
    </w:p>
    <w:p w:rsidR="009106C9" w:rsidRDefault="009106C9" w:rsidP="009106C9"/>
    <w:p w:rsidR="004515FC" w:rsidRDefault="004515FC" w:rsidP="009106C9"/>
    <w:p w:rsidR="009106C9" w:rsidRDefault="009106C9" w:rsidP="009106C9">
      <w:pPr>
        <w:ind w:left="2835" w:hanging="2835"/>
        <w:rPr>
          <w:rFonts w:cs="Arial"/>
        </w:rPr>
      </w:pPr>
      <w:r>
        <w:rPr>
          <w:rFonts w:cs="Arial"/>
        </w:rPr>
        <w:t>Ponudnik:</w:t>
      </w:r>
      <w:r>
        <w:rPr>
          <w:rFonts w:cs="Arial"/>
        </w:rPr>
        <w:tab/>
      </w:r>
      <w:r>
        <w:rPr>
          <w:rFonts w:cs="Arial"/>
          <w:b/>
        </w:rPr>
        <w:t>______________________________________</w:t>
      </w:r>
    </w:p>
    <w:p w:rsidR="009106C9" w:rsidRDefault="009106C9" w:rsidP="009106C9">
      <w:pPr>
        <w:rPr>
          <w:rFonts w:cs="Arial"/>
        </w:rPr>
      </w:pPr>
    </w:p>
    <w:p w:rsidR="009106C9" w:rsidRDefault="009106C9" w:rsidP="009106C9">
      <w:pPr>
        <w:ind w:left="2835" w:hanging="2835"/>
        <w:rPr>
          <w:rFonts w:cs="Arial"/>
        </w:rPr>
      </w:pPr>
      <w:r>
        <w:rPr>
          <w:rFonts w:cs="Arial"/>
        </w:rPr>
        <w:t>Predmet javnega naročila:</w:t>
      </w:r>
      <w:r>
        <w:rPr>
          <w:rFonts w:cs="Arial"/>
        </w:rPr>
        <w:tab/>
      </w:r>
      <w:r>
        <w:rPr>
          <w:rFonts w:cs="Arial"/>
          <w:b/>
        </w:rPr>
        <w:t>Vzdrževanje in administriranje programske opreme ODOS z moduli za leto 2014</w:t>
      </w:r>
    </w:p>
    <w:p w:rsidR="009106C9" w:rsidRDefault="009106C9" w:rsidP="009106C9">
      <w:pPr>
        <w:ind w:left="2835" w:hanging="2835"/>
        <w:jc w:val="both"/>
        <w:rPr>
          <w:rFonts w:cs="Arial"/>
        </w:rPr>
      </w:pPr>
    </w:p>
    <w:p w:rsidR="009106C9" w:rsidRDefault="009106C9" w:rsidP="009106C9">
      <w:pPr>
        <w:ind w:left="2835" w:hanging="2835"/>
        <w:jc w:val="both"/>
        <w:rPr>
          <w:rFonts w:cs="Arial"/>
          <w:b/>
        </w:rPr>
      </w:pPr>
      <w:r>
        <w:rPr>
          <w:rFonts w:cs="Arial"/>
        </w:rPr>
        <w:t>Vrsta postopka: enostavni postopek</w:t>
      </w:r>
    </w:p>
    <w:p w:rsidR="009106C9" w:rsidRDefault="009106C9" w:rsidP="009106C9">
      <w:pPr>
        <w:jc w:val="both"/>
        <w:rPr>
          <w:rFonts w:cs="Arial"/>
        </w:rPr>
      </w:pPr>
    </w:p>
    <w:p w:rsidR="009106C9" w:rsidRDefault="009106C9" w:rsidP="009106C9">
      <w:pPr>
        <w:jc w:val="both"/>
        <w:rPr>
          <w:rFonts w:cs="Arial"/>
        </w:rPr>
      </w:pPr>
      <w:r>
        <w:rPr>
          <w:rFonts w:cs="Arial"/>
        </w:rPr>
        <w:t xml:space="preserve">Rok za predložitev ponudb je do  </w:t>
      </w:r>
      <w:r w:rsidR="004515FC">
        <w:rPr>
          <w:rFonts w:cs="Arial"/>
          <w:b/>
        </w:rPr>
        <w:t>20.</w:t>
      </w:r>
      <w:r w:rsidR="00D96DC1">
        <w:rPr>
          <w:rFonts w:cs="Arial"/>
          <w:b/>
        </w:rPr>
        <w:t xml:space="preserve"> </w:t>
      </w:r>
      <w:r w:rsidR="004515FC">
        <w:rPr>
          <w:rFonts w:cs="Arial"/>
          <w:b/>
        </w:rPr>
        <w:t>12.</w:t>
      </w:r>
      <w:r w:rsidR="00D96DC1">
        <w:rPr>
          <w:rFonts w:cs="Arial"/>
          <w:b/>
        </w:rPr>
        <w:t xml:space="preserve"> </w:t>
      </w:r>
      <w:r w:rsidR="004515FC">
        <w:rPr>
          <w:rFonts w:cs="Arial"/>
          <w:b/>
        </w:rPr>
        <w:t>2013</w:t>
      </w:r>
      <w:r>
        <w:rPr>
          <w:rFonts w:cs="Arial"/>
          <w:b/>
        </w:rPr>
        <w:t xml:space="preserve"> .</w:t>
      </w:r>
    </w:p>
    <w:p w:rsidR="009106C9" w:rsidRDefault="009106C9" w:rsidP="009106C9">
      <w:pPr>
        <w:jc w:val="both"/>
        <w:rPr>
          <w:rFonts w:cs="Arial"/>
        </w:rPr>
      </w:pPr>
    </w:p>
    <w:p w:rsidR="009106C9" w:rsidRDefault="009106C9" w:rsidP="009106C9">
      <w:pPr>
        <w:rPr>
          <w:rFonts w:cs="Arial"/>
        </w:rPr>
      </w:pPr>
      <w:r>
        <w:rPr>
          <w:rFonts w:cs="Arial"/>
        </w:rPr>
        <w:t>Naročnik vabi vse zainteresirane in usposobljene ponudnike, da skladno z razpisnimi pogoji oddajo svojo ponudbo.</w:t>
      </w:r>
    </w:p>
    <w:p w:rsidR="009106C9" w:rsidRDefault="009106C9" w:rsidP="009106C9">
      <w:pPr>
        <w:jc w:val="both"/>
        <w:rPr>
          <w:rFonts w:cs="Arial"/>
        </w:rPr>
      </w:pPr>
    </w:p>
    <w:p w:rsidR="009106C9" w:rsidRDefault="009106C9" w:rsidP="009106C9">
      <w:pPr>
        <w:jc w:val="both"/>
      </w:pPr>
      <w:bookmarkStart w:id="0" w:name="specifikacija"/>
      <w:bookmarkEnd w:id="0"/>
    </w:p>
    <w:p w:rsidR="009106C9" w:rsidRDefault="009106C9" w:rsidP="009106C9">
      <w:pPr>
        <w:jc w:val="both"/>
        <w:rPr>
          <w:b/>
          <w:u w:val="single"/>
        </w:rPr>
      </w:pPr>
      <w:r>
        <w:rPr>
          <w:b/>
          <w:u w:val="single"/>
        </w:rPr>
        <w:t>Navodila za izdelavo ponudbe:</w:t>
      </w:r>
    </w:p>
    <w:p w:rsidR="009106C9" w:rsidRDefault="009106C9" w:rsidP="009106C9">
      <w:pPr>
        <w:jc w:val="both"/>
        <w:rPr>
          <w:b/>
          <w:u w:val="single"/>
        </w:rPr>
      </w:pPr>
    </w:p>
    <w:p w:rsidR="009106C9" w:rsidRDefault="009106C9" w:rsidP="009106C9">
      <w:pPr>
        <w:pStyle w:val="Naslov"/>
        <w:numPr>
          <w:ilvl w:val="0"/>
          <w:numId w:val="5"/>
        </w:numPr>
        <w:jc w:val="both"/>
        <w:rPr>
          <w:b w:val="0"/>
          <w:sz w:val="20"/>
        </w:rPr>
      </w:pPr>
      <w:r>
        <w:rPr>
          <w:b w:val="0"/>
          <w:sz w:val="20"/>
        </w:rPr>
        <w:t xml:space="preserve">Zbiranje ponudb se izvaja po Pravilniku o javnih naročilih male vrednosti katerih po veljavnem zakonu o javnem naročanju ni potrebno objaviti na portalu javnih naročil.   </w:t>
      </w:r>
    </w:p>
    <w:p w:rsidR="009106C9" w:rsidRDefault="009106C9" w:rsidP="009106C9">
      <w:pPr>
        <w:jc w:val="both"/>
        <w:rPr>
          <w:b/>
          <w:u w:val="single"/>
        </w:rPr>
      </w:pPr>
    </w:p>
    <w:p w:rsidR="009106C9" w:rsidRDefault="009106C9" w:rsidP="009106C9">
      <w:pPr>
        <w:numPr>
          <w:ilvl w:val="0"/>
          <w:numId w:val="5"/>
        </w:numPr>
        <w:jc w:val="both"/>
      </w:pPr>
      <w:r>
        <w:t>Ponudnik mora izdelati ponudbo in ostalo dokumentacijo, ki se nanaša na ponudbo v slovenskem jeziku, cene pa morajo biti izražene v eurih.</w:t>
      </w:r>
    </w:p>
    <w:p w:rsidR="009106C9" w:rsidRDefault="009106C9" w:rsidP="009106C9">
      <w:pPr>
        <w:pStyle w:val="Odstavekseznama"/>
      </w:pPr>
    </w:p>
    <w:p w:rsidR="009106C9" w:rsidRDefault="009106C9" w:rsidP="009106C9">
      <w:pPr>
        <w:numPr>
          <w:ilvl w:val="0"/>
          <w:numId w:val="5"/>
        </w:numPr>
        <w:jc w:val="both"/>
      </w:pPr>
      <w:r>
        <w:t xml:space="preserve">Predračun mora vsebovati vse stroške, popuste, rabate in davek na dodano vrednost. </w:t>
      </w:r>
    </w:p>
    <w:p w:rsidR="009106C9" w:rsidRDefault="009106C9" w:rsidP="009106C9">
      <w:pPr>
        <w:pStyle w:val="Odstavekseznama"/>
      </w:pPr>
    </w:p>
    <w:p w:rsidR="009106C9" w:rsidRDefault="009106C9" w:rsidP="009106C9">
      <w:pPr>
        <w:numPr>
          <w:ilvl w:val="0"/>
          <w:numId w:val="5"/>
        </w:numPr>
        <w:jc w:val="both"/>
      </w:pPr>
      <w:r>
        <w:t>Ponudba mora biti veljavna do</w:t>
      </w:r>
      <w:r>
        <w:rPr>
          <w:rFonts w:cs="Arial"/>
          <w:b/>
        </w:rPr>
        <w:t xml:space="preserve"> </w:t>
      </w:r>
      <w:r w:rsidR="004515FC">
        <w:rPr>
          <w:rFonts w:cs="Arial"/>
          <w:b/>
        </w:rPr>
        <w:t>1.3.2014</w:t>
      </w:r>
    </w:p>
    <w:p w:rsidR="009106C9" w:rsidRDefault="009106C9" w:rsidP="009106C9">
      <w:pPr>
        <w:jc w:val="both"/>
      </w:pPr>
    </w:p>
    <w:p w:rsidR="009106C9" w:rsidRDefault="009106C9" w:rsidP="009106C9">
      <w:pPr>
        <w:numPr>
          <w:ilvl w:val="0"/>
          <w:numId w:val="5"/>
        </w:numPr>
      </w:pPr>
      <w:r>
        <w:t xml:space="preserve">Rok plačila je 30 dni od dneva prejema pravilno izstavljenega računa. Lokacija prevzema/izvedbe: </w:t>
      </w:r>
      <w:r>
        <w:rPr>
          <w:b/>
        </w:rPr>
        <w:t>Na naslov naročnika.</w:t>
      </w:r>
    </w:p>
    <w:p w:rsidR="009106C9" w:rsidRDefault="009106C9" w:rsidP="009106C9">
      <w:pPr>
        <w:jc w:val="both"/>
      </w:pPr>
    </w:p>
    <w:p w:rsidR="009106C9" w:rsidRDefault="009106C9" w:rsidP="009106C9">
      <w:pPr>
        <w:numPr>
          <w:ilvl w:val="0"/>
          <w:numId w:val="5"/>
        </w:numPr>
        <w:jc w:val="both"/>
      </w:pPr>
      <w:r>
        <w:t xml:space="preserve">Ponudnik lahko dobi podrobne informacije o pripravi ponudbe na naslovu naročnika, kontaktna oseba </w:t>
      </w:r>
      <w:r>
        <w:rPr>
          <w:rFonts w:cs="Arial"/>
          <w:b/>
        </w:rPr>
        <w:t>Ksenija DREN.</w:t>
      </w:r>
    </w:p>
    <w:p w:rsidR="009106C9" w:rsidRDefault="009106C9" w:rsidP="009106C9">
      <w:pPr>
        <w:jc w:val="both"/>
      </w:pPr>
    </w:p>
    <w:p w:rsidR="009106C9" w:rsidRDefault="009106C9" w:rsidP="009106C9">
      <w:pPr>
        <w:numPr>
          <w:ilvl w:val="0"/>
          <w:numId w:val="5"/>
        </w:numPr>
        <w:jc w:val="both"/>
      </w:pPr>
      <w:r>
        <w:t>Načini oddaje ponudb:</w:t>
      </w:r>
    </w:p>
    <w:p w:rsidR="009106C9" w:rsidRDefault="009106C9" w:rsidP="004515FC">
      <w:pPr>
        <w:numPr>
          <w:ilvl w:val="0"/>
          <w:numId w:val="6"/>
        </w:numPr>
        <w:jc w:val="both"/>
      </w:pPr>
      <w:r>
        <w:t>Pisno na naslov: MESTNA OBČINA VELENJE, Titov trg 1, 3320 VELENJE, sprejemna pisarna MOV, soba št. 10, ki se nahaja v kletni etaži Mestne občine Velenje.</w:t>
      </w:r>
    </w:p>
    <w:p w:rsidR="009106C9" w:rsidRDefault="009106C9" w:rsidP="009106C9">
      <w:pPr>
        <w:numPr>
          <w:ilvl w:val="0"/>
          <w:numId w:val="6"/>
        </w:numPr>
        <w:jc w:val="both"/>
      </w:pPr>
      <w:r>
        <w:t xml:space="preserve">Po e-mailu: </w:t>
      </w:r>
      <w:r>
        <w:rPr>
          <w:rFonts w:cs="Arial"/>
        </w:rPr>
        <w:t>informatika@velenje.si</w:t>
      </w:r>
      <w:r>
        <w:t xml:space="preserve"> ali </w:t>
      </w:r>
      <w:hyperlink r:id="rId8" w:history="1">
        <w:r>
          <w:rPr>
            <w:rStyle w:val="Hiperpovezava"/>
          </w:rPr>
          <w:t>info@velenje.si</w:t>
        </w:r>
      </w:hyperlink>
      <w:r>
        <w:t xml:space="preserve">  </w:t>
      </w:r>
    </w:p>
    <w:p w:rsidR="009106C9" w:rsidRDefault="009106C9" w:rsidP="009106C9">
      <w:pPr>
        <w:jc w:val="both"/>
      </w:pPr>
    </w:p>
    <w:p w:rsidR="009106C9" w:rsidRDefault="009106C9" w:rsidP="009106C9">
      <w:pPr>
        <w:jc w:val="both"/>
      </w:pPr>
    </w:p>
    <w:p w:rsidR="009106C9" w:rsidRDefault="009106C9" w:rsidP="009106C9">
      <w:pPr>
        <w:jc w:val="both"/>
        <w:rPr>
          <w:b/>
        </w:rPr>
      </w:pPr>
    </w:p>
    <w:p w:rsidR="009106C9" w:rsidRDefault="009106C9" w:rsidP="009106C9">
      <w:pPr>
        <w:jc w:val="both"/>
        <w:rPr>
          <w:b/>
        </w:rPr>
      </w:pPr>
    </w:p>
    <w:p w:rsidR="009106C9" w:rsidRDefault="009106C9" w:rsidP="009106C9">
      <w:pPr>
        <w:jc w:val="both"/>
        <w:rPr>
          <w:rFonts w:cs="Arial"/>
        </w:rPr>
      </w:pPr>
      <w:r>
        <w:rPr>
          <w:rFonts w:cs="Arial"/>
        </w:rPr>
        <w:t>Pripravil skrbnik JN:</w:t>
      </w:r>
      <w:r>
        <w:rPr>
          <w:rFonts w:cs="Arial"/>
        </w:rPr>
        <w:tab/>
      </w:r>
      <w:r>
        <w:rPr>
          <w:rFonts w:cs="Arial"/>
          <w:b/>
        </w:rPr>
        <w:t>Ksenija DREN</w:t>
      </w:r>
    </w:p>
    <w:p w:rsidR="009106C9" w:rsidRDefault="009106C9" w:rsidP="009106C9">
      <w:pPr>
        <w:jc w:val="both"/>
        <w:rPr>
          <w:rFonts w:cs="Arial"/>
          <w:b/>
        </w:rPr>
      </w:pPr>
      <w:r>
        <w:rPr>
          <w:rFonts w:cs="Arial"/>
        </w:rPr>
        <w:t xml:space="preserve">Vodja JN: </w:t>
      </w:r>
      <w:r>
        <w:rPr>
          <w:rFonts w:cs="Arial"/>
        </w:rPr>
        <w:tab/>
      </w:r>
      <w:r>
        <w:rPr>
          <w:rFonts w:cs="Arial"/>
        </w:rPr>
        <w:tab/>
      </w:r>
      <w:r>
        <w:rPr>
          <w:rFonts w:cs="Arial"/>
          <w:b/>
        </w:rPr>
        <w:t>Amra KADRIČ</w:t>
      </w:r>
    </w:p>
    <w:p w:rsidR="009106C9" w:rsidRDefault="009106C9" w:rsidP="009106C9">
      <w:pPr>
        <w:jc w:val="both"/>
        <w:rPr>
          <w:rFonts w:cs="Arial"/>
          <w:b/>
        </w:rPr>
      </w:pPr>
    </w:p>
    <w:p w:rsidR="009106C9" w:rsidRDefault="009106C9" w:rsidP="009106C9">
      <w:pPr>
        <w:jc w:val="both"/>
        <w:rPr>
          <w:rFonts w:cs="Arial"/>
          <w:b/>
        </w:rPr>
      </w:pPr>
    </w:p>
    <w:p w:rsidR="004515FC" w:rsidRDefault="004515FC" w:rsidP="004515FC">
      <w:pPr>
        <w:jc w:val="both"/>
        <w:rPr>
          <w:rFonts w:cs="Arial"/>
          <w:b/>
          <w:u w:val="single"/>
        </w:rPr>
      </w:pPr>
      <w:r>
        <w:rPr>
          <w:rFonts w:cs="Arial"/>
          <w:b/>
          <w:u w:val="single"/>
        </w:rPr>
        <w:br w:type="page"/>
      </w:r>
      <w:r>
        <w:rPr>
          <w:rFonts w:cs="Arial"/>
          <w:b/>
          <w:u w:val="single"/>
        </w:rPr>
        <w:lastRenderedPageBreak/>
        <w:t>SPECIFIKACIJA - PREDRAČUN NAROČILA:</w:t>
      </w:r>
    </w:p>
    <w:p w:rsidR="004515FC" w:rsidRDefault="004515FC" w:rsidP="004515FC">
      <w:pPr>
        <w:jc w:val="both"/>
        <w:rPr>
          <w:rFonts w:cs="Arial"/>
          <w:b/>
          <w:u w:val="single"/>
        </w:rPr>
      </w:pPr>
    </w:p>
    <w:tbl>
      <w:tblPr>
        <w:tblW w:w="10475" w:type="dxa"/>
        <w:tblLook w:val="04A0" w:firstRow="1" w:lastRow="0" w:firstColumn="1" w:lastColumn="0" w:noHBand="0" w:noVBand="1"/>
      </w:tblPr>
      <w:tblGrid>
        <w:gridCol w:w="974"/>
        <w:gridCol w:w="3491"/>
        <w:gridCol w:w="1134"/>
        <w:gridCol w:w="981"/>
        <w:gridCol w:w="1428"/>
        <w:gridCol w:w="1049"/>
        <w:gridCol w:w="1418"/>
      </w:tblGrid>
      <w:tr w:rsidR="004515FC" w:rsidTr="004515FC">
        <w:tc>
          <w:tcPr>
            <w:tcW w:w="97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Št.</w:t>
            </w:r>
          </w:p>
        </w:tc>
        <w:tc>
          <w:tcPr>
            <w:tcW w:w="349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Predmet</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eastAsia="Trebuchet MS" w:cs="Arial"/>
              </w:rPr>
            </w:pPr>
            <w:r>
              <w:rPr>
                <w:rFonts w:eastAsia="Trebuchet MS" w:cs="Arial"/>
              </w:rPr>
              <w:t xml:space="preserve">Cena na enoto </w:t>
            </w:r>
          </w:p>
          <w:p w:rsidR="004515FC" w:rsidRDefault="004515FC">
            <w:pPr>
              <w:rPr>
                <w:rFonts w:cs="Arial"/>
              </w:rPr>
            </w:pPr>
            <w:r>
              <w:rPr>
                <w:rFonts w:eastAsia="Trebuchet MS" w:cs="Arial"/>
              </w:rPr>
              <w:t>(1 mesec) brez DDV</w:t>
            </w: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Količina</w:t>
            </w:r>
          </w:p>
        </w:tc>
        <w:tc>
          <w:tcPr>
            <w:tcW w:w="142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Znesek skupaj brez DDV (cena brez DDV x količina)</w:t>
            </w: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Znesek DDV</w:t>
            </w: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Znesek skupaj z DDV(cena z DDV x količina)</w:t>
            </w:r>
          </w:p>
        </w:tc>
      </w:tr>
      <w:tr w:rsidR="004515FC" w:rsidTr="004515FC">
        <w:tc>
          <w:tcPr>
            <w:tcW w:w="97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eastAsia="Trebuchet MS" w:cs="Arial"/>
              </w:rPr>
            </w:pPr>
            <w:r>
              <w:rPr>
                <w:rFonts w:eastAsia="Trebuchet MS" w:cs="Arial"/>
              </w:rPr>
              <w:t>1.</w:t>
            </w:r>
          </w:p>
        </w:tc>
        <w:tc>
          <w:tcPr>
            <w:tcW w:w="349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cs="Arial"/>
              </w:rPr>
              <w:t>Vzdrževanje in administriranje programske opreme ODOS z moduli za leto 2014</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cs="Arial"/>
              </w:rPr>
              <w:t>12 mesecev</w:t>
            </w:r>
          </w:p>
        </w:tc>
        <w:tc>
          <w:tcPr>
            <w:tcW w:w="142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r>
      <w:tr w:rsidR="004515FC" w:rsidTr="004515FC">
        <w:tc>
          <w:tcPr>
            <w:tcW w:w="97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4515FC" w:rsidRDefault="004515FC">
            <w:pPr>
              <w:rPr>
                <w:rFonts w:cs="Arial"/>
              </w:rPr>
            </w:pPr>
            <w:r>
              <w:rPr>
                <w:rFonts w:eastAsia="Trebuchet MS" w:cs="Arial"/>
              </w:rPr>
              <w:t>SKUPAJ:</w:t>
            </w:r>
          </w:p>
        </w:tc>
        <w:tc>
          <w:tcPr>
            <w:tcW w:w="349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98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142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104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c>
          <w:tcPr>
            <w:tcW w:w="14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515FC" w:rsidRDefault="004515FC">
            <w:pPr>
              <w:rPr>
                <w:rFonts w:cs="Arial"/>
              </w:rPr>
            </w:pPr>
          </w:p>
        </w:tc>
      </w:tr>
    </w:tbl>
    <w:p w:rsidR="004515FC" w:rsidRDefault="004515FC" w:rsidP="004515FC"/>
    <w:p w:rsidR="004515FC" w:rsidRDefault="004515FC" w:rsidP="004515FC">
      <w:pPr>
        <w:rPr>
          <w:sz w:val="17"/>
          <w:szCs w:val="17"/>
        </w:rPr>
      </w:pPr>
    </w:p>
    <w:p w:rsidR="004515FC" w:rsidRDefault="004515FC" w:rsidP="004515FC">
      <w:pPr>
        <w:jc w:val="both"/>
        <w:rPr>
          <w:rFonts w:cs="Arial"/>
          <w:sz w:val="17"/>
          <w:szCs w:val="17"/>
        </w:rPr>
      </w:pPr>
      <w:r>
        <w:rPr>
          <w:rFonts w:cs="Arial"/>
          <w:sz w:val="17"/>
          <w:szCs w:val="17"/>
        </w:rPr>
        <w:t>Kratek opis naročila:</w:t>
      </w:r>
    </w:p>
    <w:p w:rsidR="004515FC" w:rsidRDefault="004515FC" w:rsidP="004515FC">
      <w:pPr>
        <w:jc w:val="both"/>
        <w:rPr>
          <w:rFonts w:cs="Arial"/>
          <w:sz w:val="17"/>
          <w:szCs w:val="17"/>
        </w:rPr>
      </w:pPr>
    </w:p>
    <w:p w:rsidR="004515FC" w:rsidRDefault="004515FC" w:rsidP="004515FC">
      <w:pPr>
        <w:jc w:val="both"/>
        <w:rPr>
          <w:sz w:val="17"/>
          <w:szCs w:val="17"/>
        </w:rPr>
      </w:pPr>
      <w:r>
        <w:rPr>
          <w:sz w:val="17"/>
          <w:szCs w:val="17"/>
        </w:rPr>
        <w:t>Predmet te pogodbe je vzdrževanje in administriranje sistemske opreme ODOS ter  dodatnih programskih modulov na sistemski platformi ODOS.</w:t>
      </w:r>
    </w:p>
    <w:p w:rsidR="004515FC" w:rsidRDefault="004515FC" w:rsidP="004515FC">
      <w:pPr>
        <w:jc w:val="both"/>
        <w:rPr>
          <w:rFonts w:cs="Arial"/>
          <w:b/>
          <w:sz w:val="17"/>
          <w:szCs w:val="17"/>
        </w:rPr>
      </w:pPr>
    </w:p>
    <w:p w:rsidR="004515FC" w:rsidRDefault="004515FC" w:rsidP="004515FC">
      <w:pPr>
        <w:jc w:val="both"/>
        <w:rPr>
          <w:sz w:val="17"/>
          <w:szCs w:val="17"/>
        </w:rPr>
      </w:pPr>
      <w:r>
        <w:rPr>
          <w:sz w:val="17"/>
          <w:szCs w:val="17"/>
        </w:rPr>
        <w:t>Vzdrževanje in administracijo bo izvajalec izvajal neposredno prek interneta, po potrebi pa tudi na lokaciji naročnika, po elektronski pošti ali po telefonu.</w:t>
      </w:r>
    </w:p>
    <w:p w:rsidR="004515FC" w:rsidRDefault="004515FC" w:rsidP="004515FC">
      <w:pPr>
        <w:jc w:val="both"/>
        <w:rPr>
          <w:rFonts w:cs="Arial"/>
          <w:b/>
          <w:sz w:val="17"/>
          <w:szCs w:val="17"/>
        </w:rPr>
      </w:pPr>
    </w:p>
    <w:p w:rsidR="004515FC" w:rsidRDefault="004515FC" w:rsidP="004515FC">
      <w:pPr>
        <w:rPr>
          <w:sz w:val="17"/>
          <w:szCs w:val="17"/>
        </w:rPr>
      </w:pPr>
      <w:r>
        <w:rPr>
          <w:sz w:val="17"/>
          <w:szCs w:val="17"/>
        </w:rPr>
        <w:t>Naročnik zagotovi celotno strojno infrastrukturo, licence za aplikacijski strežnik, licence za podatkovne zbirke in licence za operacijski sistem, ki so potrebni za izvajanje sistemske opreme.</w:t>
      </w:r>
    </w:p>
    <w:p w:rsidR="004515FC" w:rsidRDefault="004515FC" w:rsidP="004515FC">
      <w:pPr>
        <w:rPr>
          <w:sz w:val="17"/>
          <w:szCs w:val="17"/>
        </w:rPr>
      </w:pPr>
    </w:p>
    <w:p w:rsidR="004515FC" w:rsidRDefault="004515FC" w:rsidP="004515FC">
      <w:pPr>
        <w:jc w:val="both"/>
        <w:rPr>
          <w:sz w:val="17"/>
          <w:szCs w:val="17"/>
        </w:rPr>
      </w:pPr>
      <w:r>
        <w:rPr>
          <w:sz w:val="17"/>
          <w:szCs w:val="17"/>
        </w:rPr>
        <w:t>Vzdrževanje informacijskega sistema ODOS obsega:</w:t>
      </w:r>
    </w:p>
    <w:p w:rsidR="004515FC" w:rsidRDefault="004515FC" w:rsidP="004515FC">
      <w:pPr>
        <w:widowControl w:val="0"/>
        <w:numPr>
          <w:ilvl w:val="0"/>
          <w:numId w:val="7"/>
        </w:numPr>
        <w:suppressAutoHyphens/>
        <w:autoSpaceDE w:val="0"/>
        <w:jc w:val="both"/>
        <w:rPr>
          <w:sz w:val="17"/>
          <w:szCs w:val="17"/>
        </w:rPr>
      </w:pPr>
      <w:r>
        <w:rPr>
          <w:sz w:val="17"/>
          <w:szCs w:val="17"/>
        </w:rPr>
        <w:t>nadgradnje in posodobitve obstoječega osnovnega sistema in implementiranih programskih modulov na sistemski platformi ODOS  v okolju naročnika,</w:t>
      </w:r>
    </w:p>
    <w:p w:rsidR="004515FC" w:rsidRDefault="004515FC" w:rsidP="004515FC">
      <w:pPr>
        <w:widowControl w:val="0"/>
        <w:numPr>
          <w:ilvl w:val="0"/>
          <w:numId w:val="7"/>
        </w:numPr>
        <w:suppressAutoHyphens/>
        <w:autoSpaceDE w:val="0"/>
        <w:jc w:val="both"/>
        <w:rPr>
          <w:sz w:val="17"/>
          <w:szCs w:val="17"/>
        </w:rPr>
      </w:pPr>
      <w:r>
        <w:rPr>
          <w:sz w:val="17"/>
          <w:szCs w:val="17"/>
        </w:rPr>
        <w:t>odpravljanje nepravilnosti v delovanju sistema preko celotnega časa uporabe,</w:t>
      </w:r>
    </w:p>
    <w:p w:rsidR="004515FC" w:rsidRDefault="004515FC" w:rsidP="004515FC">
      <w:pPr>
        <w:widowControl w:val="0"/>
        <w:numPr>
          <w:ilvl w:val="0"/>
          <w:numId w:val="7"/>
        </w:numPr>
        <w:suppressAutoHyphens/>
        <w:autoSpaceDE w:val="0"/>
        <w:rPr>
          <w:sz w:val="17"/>
          <w:szCs w:val="17"/>
        </w:rPr>
      </w:pPr>
      <w:r>
        <w:rPr>
          <w:sz w:val="17"/>
          <w:szCs w:val="17"/>
        </w:rPr>
        <w:t>druge  storitve  v  zvezi  z  vzdrževanjem  sistema   po  želji  naročnika  v  okviru obstoječega sistema  in vseh aktivnih modulov (zamenjava nadgradenj starih izvajalnih datotek z novimi različicami - do 120 uporabnikov).</w:t>
      </w:r>
    </w:p>
    <w:p w:rsidR="004515FC" w:rsidRDefault="004515FC" w:rsidP="004515FC">
      <w:pPr>
        <w:rPr>
          <w:sz w:val="17"/>
          <w:szCs w:val="17"/>
        </w:rPr>
      </w:pPr>
    </w:p>
    <w:p w:rsidR="004515FC" w:rsidRDefault="004515FC" w:rsidP="004515FC">
      <w:pPr>
        <w:jc w:val="both"/>
        <w:rPr>
          <w:sz w:val="17"/>
          <w:szCs w:val="17"/>
        </w:rPr>
      </w:pPr>
      <w:r>
        <w:rPr>
          <w:sz w:val="17"/>
          <w:szCs w:val="17"/>
        </w:rPr>
        <w:t>Administriranje informacijskega sistema ODOS obsega:</w:t>
      </w:r>
    </w:p>
    <w:p w:rsidR="004515FC" w:rsidRDefault="004515FC" w:rsidP="004515FC">
      <w:pPr>
        <w:widowControl w:val="0"/>
        <w:numPr>
          <w:ilvl w:val="0"/>
          <w:numId w:val="8"/>
        </w:numPr>
        <w:suppressAutoHyphens/>
        <w:autoSpaceDE w:val="0"/>
        <w:jc w:val="both"/>
        <w:rPr>
          <w:sz w:val="17"/>
          <w:szCs w:val="17"/>
        </w:rPr>
      </w:pPr>
      <w:r>
        <w:rPr>
          <w:sz w:val="17"/>
          <w:szCs w:val="17"/>
        </w:rPr>
        <w:t>nadzor sistema in preprečevanje zastojev v delovnem procesu, tehnična uporabniška pomoč,</w:t>
      </w:r>
    </w:p>
    <w:p w:rsidR="004515FC" w:rsidRDefault="004515FC" w:rsidP="004515FC">
      <w:pPr>
        <w:widowControl w:val="0"/>
        <w:numPr>
          <w:ilvl w:val="0"/>
          <w:numId w:val="8"/>
        </w:numPr>
        <w:suppressAutoHyphens/>
        <w:autoSpaceDE w:val="0"/>
        <w:jc w:val="both"/>
        <w:rPr>
          <w:sz w:val="17"/>
          <w:szCs w:val="17"/>
        </w:rPr>
      </w:pPr>
      <w:r>
        <w:rPr>
          <w:sz w:val="17"/>
          <w:szCs w:val="17"/>
        </w:rPr>
        <w:t>dodajanje novih uporabnikov, spreminjanje pravic in vlog uporabnikov v sistemu,</w:t>
      </w:r>
    </w:p>
    <w:p w:rsidR="004515FC" w:rsidRDefault="004515FC" w:rsidP="004515FC">
      <w:pPr>
        <w:widowControl w:val="0"/>
        <w:numPr>
          <w:ilvl w:val="0"/>
          <w:numId w:val="8"/>
        </w:numPr>
        <w:suppressAutoHyphens/>
        <w:autoSpaceDE w:val="0"/>
        <w:jc w:val="both"/>
        <w:rPr>
          <w:sz w:val="17"/>
          <w:szCs w:val="17"/>
        </w:rPr>
      </w:pPr>
      <w:r>
        <w:rPr>
          <w:sz w:val="17"/>
          <w:szCs w:val="17"/>
        </w:rPr>
        <w:t>prilagajanje sistema oz. drevesne strukture delovnih področij,</w:t>
      </w:r>
    </w:p>
    <w:p w:rsidR="004515FC" w:rsidRDefault="004515FC" w:rsidP="004515FC">
      <w:pPr>
        <w:widowControl w:val="0"/>
        <w:numPr>
          <w:ilvl w:val="0"/>
          <w:numId w:val="8"/>
        </w:numPr>
        <w:suppressAutoHyphens/>
        <w:autoSpaceDE w:val="0"/>
        <w:jc w:val="both"/>
        <w:rPr>
          <w:sz w:val="17"/>
          <w:szCs w:val="17"/>
        </w:rPr>
      </w:pPr>
      <w:r>
        <w:rPr>
          <w:sz w:val="17"/>
          <w:szCs w:val="17"/>
        </w:rPr>
        <w:t>telefonsko ali fizično pomoč naročniku pri samem delu in odpravljanje napak na podatkih</w:t>
      </w:r>
    </w:p>
    <w:p w:rsidR="004515FC" w:rsidRDefault="004515FC" w:rsidP="004515FC">
      <w:pPr>
        <w:widowControl w:val="0"/>
        <w:numPr>
          <w:ilvl w:val="0"/>
          <w:numId w:val="8"/>
        </w:numPr>
        <w:suppressAutoHyphens/>
        <w:autoSpaceDE w:val="0"/>
        <w:jc w:val="both"/>
        <w:rPr>
          <w:sz w:val="17"/>
          <w:szCs w:val="17"/>
        </w:rPr>
      </w:pPr>
      <w:r>
        <w:rPr>
          <w:sz w:val="17"/>
          <w:szCs w:val="17"/>
        </w:rPr>
        <w:t>dnevno varnostno kopiranje podatkovne zbirke sistema ODOS.</w:t>
      </w:r>
    </w:p>
    <w:p w:rsidR="004515FC" w:rsidRDefault="004515FC" w:rsidP="004515FC">
      <w:pPr>
        <w:rPr>
          <w:sz w:val="17"/>
          <w:szCs w:val="17"/>
        </w:rPr>
      </w:pPr>
    </w:p>
    <w:p w:rsidR="004515FC" w:rsidRDefault="004515FC" w:rsidP="004515FC">
      <w:pPr>
        <w:jc w:val="both"/>
        <w:rPr>
          <w:sz w:val="17"/>
          <w:szCs w:val="17"/>
        </w:rPr>
      </w:pPr>
      <w:r>
        <w:rPr>
          <w:sz w:val="17"/>
          <w:szCs w:val="17"/>
        </w:rPr>
        <w:t>Obseg ur za vzdrževanje sistema in administracijo:</w:t>
      </w:r>
    </w:p>
    <w:p w:rsidR="004515FC" w:rsidRDefault="004515FC" w:rsidP="004515FC">
      <w:pPr>
        <w:jc w:val="both"/>
        <w:rPr>
          <w:sz w:val="17"/>
          <w:szCs w:val="17"/>
        </w:rPr>
      </w:pPr>
      <w:r>
        <w:rPr>
          <w:sz w:val="17"/>
          <w:szCs w:val="17"/>
        </w:rPr>
        <w:t>Obseg vzdrževanja po tej pogodbi je do 30 ur mesečno. V primeru, da izvajalec porabi manj ur za vzdrževanje, kot je zajeto v kvoti, se le te prenesejo v naslednje obračunsko obdobje.</w:t>
      </w:r>
    </w:p>
    <w:p w:rsidR="004515FC" w:rsidRDefault="004515FC" w:rsidP="004515FC">
      <w:pPr>
        <w:rPr>
          <w:sz w:val="17"/>
          <w:szCs w:val="17"/>
        </w:rPr>
      </w:pPr>
    </w:p>
    <w:p w:rsidR="004515FC" w:rsidRDefault="004515FC" w:rsidP="004515FC">
      <w:pPr>
        <w:jc w:val="both"/>
        <w:rPr>
          <w:sz w:val="17"/>
          <w:szCs w:val="17"/>
        </w:rPr>
      </w:pPr>
      <w:r>
        <w:rPr>
          <w:sz w:val="17"/>
          <w:szCs w:val="17"/>
        </w:rPr>
        <w:t xml:space="preserve">Izvajalec odgovarja in odpravlja zgolj napake na aplikacijah, ki so predmet te pogodbe. Za vse morebitne napake, ki izhajajo iz sistemskih sprememb na strežniku MOV, izvajalec ne prevzame odgovornosti. </w:t>
      </w:r>
      <w:r>
        <w:rPr>
          <w:sz w:val="17"/>
          <w:szCs w:val="17"/>
          <w:lang w:val="en-US"/>
        </w:rPr>
        <w:t xml:space="preserve">V </w:t>
      </w:r>
      <w:r>
        <w:rPr>
          <w:sz w:val="17"/>
          <w:szCs w:val="17"/>
        </w:rPr>
        <w:t>primeru napake izva</w:t>
      </w:r>
      <w:r w:rsidR="00542140">
        <w:rPr>
          <w:sz w:val="17"/>
          <w:szCs w:val="17"/>
        </w:rPr>
        <w:t xml:space="preserve">jalca, izvajalec odpravi napako </w:t>
      </w:r>
      <w:r>
        <w:rPr>
          <w:sz w:val="17"/>
          <w:szCs w:val="17"/>
        </w:rPr>
        <w:t>na lastne stroške.</w:t>
      </w:r>
    </w:p>
    <w:p w:rsidR="004515FC" w:rsidRDefault="004515FC" w:rsidP="004515FC">
      <w:pPr>
        <w:jc w:val="both"/>
        <w:rPr>
          <w:sz w:val="17"/>
          <w:szCs w:val="17"/>
        </w:rPr>
      </w:pPr>
      <w:r>
        <w:rPr>
          <w:sz w:val="17"/>
          <w:szCs w:val="17"/>
        </w:rPr>
        <w:t xml:space="preserve">Vrsto napake določi izvajalec in o tem obvesti naročnika. </w:t>
      </w:r>
    </w:p>
    <w:p w:rsidR="004515FC" w:rsidRDefault="004515FC" w:rsidP="004515FC">
      <w:pPr>
        <w:jc w:val="both"/>
        <w:rPr>
          <w:sz w:val="17"/>
          <w:szCs w:val="17"/>
        </w:rPr>
      </w:pPr>
      <w:r>
        <w:rPr>
          <w:sz w:val="17"/>
          <w:szCs w:val="17"/>
        </w:rPr>
        <w:t>O času odprave napak mora izvajalec obvestiti naročnika telefonsko ali po elektronski pošti.</w:t>
      </w:r>
    </w:p>
    <w:p w:rsidR="004515FC" w:rsidRDefault="004515FC" w:rsidP="004515FC">
      <w:pPr>
        <w:jc w:val="both"/>
        <w:rPr>
          <w:sz w:val="17"/>
          <w:szCs w:val="17"/>
        </w:rPr>
      </w:pPr>
      <w:r>
        <w:rPr>
          <w:sz w:val="17"/>
          <w:szCs w:val="17"/>
        </w:rPr>
        <w:t>Naročnik določi za koordinacijo svojega predstavnika, s katerim izvajalec usklajuje celotno področje vzdrževanja in administracije.</w:t>
      </w:r>
    </w:p>
    <w:p w:rsidR="004515FC" w:rsidRDefault="004515FC" w:rsidP="004515FC">
      <w:pPr>
        <w:rPr>
          <w:sz w:val="17"/>
          <w:szCs w:val="17"/>
        </w:rPr>
      </w:pPr>
    </w:p>
    <w:p w:rsidR="004515FC" w:rsidRDefault="004515FC" w:rsidP="004515FC">
      <w:pPr>
        <w:rPr>
          <w:sz w:val="17"/>
          <w:szCs w:val="17"/>
        </w:rPr>
      </w:pPr>
      <w:r>
        <w:rPr>
          <w:sz w:val="17"/>
          <w:szCs w:val="17"/>
        </w:rPr>
        <w:t>Storitve vzdrževanja informacijskega sistema, izvajalec zagotavlja v rednem delovnem času izvajalca, med 7.00 in 15.00 uro, od ponedeljka do petka, razen ob državnih praznikih in drugih dela prostih dnevih</w:t>
      </w:r>
    </w:p>
    <w:p w:rsidR="004515FC" w:rsidRDefault="004515FC" w:rsidP="004515FC">
      <w:pPr>
        <w:rPr>
          <w:sz w:val="17"/>
          <w:szCs w:val="17"/>
        </w:rPr>
      </w:pPr>
    </w:p>
    <w:p w:rsidR="004515FC" w:rsidRDefault="004515FC" w:rsidP="004515FC">
      <w:pPr>
        <w:jc w:val="both"/>
        <w:rPr>
          <w:sz w:val="17"/>
          <w:szCs w:val="17"/>
        </w:rPr>
      </w:pPr>
      <w:r>
        <w:rPr>
          <w:sz w:val="17"/>
          <w:szCs w:val="17"/>
        </w:rPr>
        <w:t>Izvajalec zagotavlja odzivni čas od prijave napake in do začetka odpravljanja napake in s tem javljanja o vzroku za napako v 2 urah, za odpravo napak v 36 urah, v nujnih primerih, ko je zaradi napake onemogočeno delo, pa v 8 urah.</w:t>
      </w:r>
    </w:p>
    <w:p w:rsidR="004515FC" w:rsidRDefault="004515FC" w:rsidP="004515FC">
      <w:pPr>
        <w:rPr>
          <w:sz w:val="17"/>
          <w:szCs w:val="17"/>
        </w:rPr>
      </w:pPr>
      <w:r>
        <w:rPr>
          <w:sz w:val="17"/>
          <w:szCs w:val="17"/>
        </w:rPr>
        <w:t>Izvajalec se obvezuje, da se bo po najboljših močeh in upoštevajoč objektivne omejitve s skrbnostjo dobrega gospodarja trudil uporabniško motnjo odpraviti, sicer pa bo našel alternativni način dela za naročnika. Pri tem izvajalec ne odgovarja za nedelovanje aplikacij, če je vzrok napaka na strojni opremi naročnika.</w:t>
      </w:r>
    </w:p>
    <w:p w:rsidR="004515FC" w:rsidRDefault="004515FC" w:rsidP="004515FC">
      <w:pPr>
        <w:rPr>
          <w:sz w:val="17"/>
          <w:szCs w:val="17"/>
        </w:rPr>
      </w:pPr>
    </w:p>
    <w:p w:rsidR="004515FC" w:rsidRDefault="004515FC" w:rsidP="004515FC">
      <w:pPr>
        <w:jc w:val="both"/>
        <w:rPr>
          <w:sz w:val="17"/>
          <w:szCs w:val="17"/>
        </w:rPr>
      </w:pPr>
      <w:r>
        <w:rPr>
          <w:sz w:val="17"/>
          <w:szCs w:val="17"/>
        </w:rPr>
        <w:t>Naročnik se zavezuje da bo:</w:t>
      </w:r>
    </w:p>
    <w:p w:rsidR="004515FC" w:rsidRDefault="004515FC" w:rsidP="004515FC">
      <w:pPr>
        <w:widowControl w:val="0"/>
        <w:numPr>
          <w:ilvl w:val="0"/>
          <w:numId w:val="9"/>
        </w:numPr>
        <w:suppressAutoHyphens/>
        <w:autoSpaceDE w:val="0"/>
        <w:rPr>
          <w:sz w:val="17"/>
          <w:szCs w:val="17"/>
        </w:rPr>
      </w:pPr>
      <w:r>
        <w:rPr>
          <w:sz w:val="17"/>
          <w:szCs w:val="17"/>
        </w:rPr>
        <w:t>določil vsaj eno kontaktno osebo s primerno stopnjo tehnične in informacijske usposobljenosti glede implementiranega informacijskega sistema,</w:t>
      </w:r>
    </w:p>
    <w:p w:rsidR="004515FC" w:rsidRDefault="004515FC" w:rsidP="004515FC">
      <w:pPr>
        <w:widowControl w:val="0"/>
        <w:numPr>
          <w:ilvl w:val="0"/>
          <w:numId w:val="9"/>
        </w:numPr>
        <w:suppressAutoHyphens/>
        <w:autoSpaceDE w:val="0"/>
        <w:rPr>
          <w:sz w:val="17"/>
          <w:szCs w:val="17"/>
        </w:rPr>
      </w:pPr>
      <w:r>
        <w:rPr>
          <w:sz w:val="17"/>
          <w:szCs w:val="17"/>
        </w:rPr>
        <w:t>z izvajalcem sodeloval  in ga obveščal  na vnaprej  dogovorjen  način v mejah</w:t>
      </w:r>
      <w:r w:rsidR="00542140">
        <w:rPr>
          <w:sz w:val="17"/>
          <w:szCs w:val="17"/>
        </w:rPr>
        <w:t xml:space="preserve"> </w:t>
      </w:r>
      <w:r>
        <w:rPr>
          <w:sz w:val="17"/>
          <w:szCs w:val="17"/>
        </w:rPr>
        <w:t>predmeta te pogodbe,</w:t>
      </w:r>
    </w:p>
    <w:p w:rsidR="004515FC" w:rsidRDefault="004515FC" w:rsidP="004515FC">
      <w:pPr>
        <w:widowControl w:val="0"/>
        <w:numPr>
          <w:ilvl w:val="0"/>
          <w:numId w:val="9"/>
        </w:numPr>
        <w:suppressAutoHyphens/>
        <w:autoSpaceDE w:val="0"/>
        <w:rPr>
          <w:sz w:val="17"/>
          <w:szCs w:val="17"/>
        </w:rPr>
      </w:pPr>
      <w:r>
        <w:rPr>
          <w:sz w:val="17"/>
          <w:szCs w:val="17"/>
        </w:rPr>
        <w:t>se časovno primerno odzval na pobude izvajalca,</w:t>
      </w:r>
    </w:p>
    <w:p w:rsidR="004515FC" w:rsidRDefault="004515FC" w:rsidP="004515FC">
      <w:pPr>
        <w:widowControl w:val="0"/>
        <w:numPr>
          <w:ilvl w:val="0"/>
          <w:numId w:val="9"/>
        </w:numPr>
        <w:suppressAutoHyphens/>
        <w:autoSpaceDE w:val="0"/>
        <w:rPr>
          <w:sz w:val="17"/>
          <w:szCs w:val="17"/>
        </w:rPr>
      </w:pPr>
      <w:r>
        <w:rPr>
          <w:sz w:val="17"/>
          <w:szCs w:val="17"/>
        </w:rPr>
        <w:t>redno   obveščal   izvajalca   o   sistemskih   in   strojnih   spremembah   na strežniku naročnika, kjer bo tekel sistem ODOS, takoj ko nastane sprememba,</w:t>
      </w:r>
    </w:p>
    <w:p w:rsidR="004515FC" w:rsidRDefault="004515FC" w:rsidP="004515FC">
      <w:pPr>
        <w:widowControl w:val="0"/>
        <w:numPr>
          <w:ilvl w:val="0"/>
          <w:numId w:val="9"/>
        </w:numPr>
        <w:suppressAutoHyphens/>
        <w:autoSpaceDE w:val="0"/>
        <w:rPr>
          <w:sz w:val="17"/>
          <w:szCs w:val="17"/>
        </w:rPr>
      </w:pPr>
      <w:r>
        <w:rPr>
          <w:sz w:val="17"/>
          <w:szCs w:val="17"/>
        </w:rPr>
        <w:t>redno plačeval račune izvajalcu.</w:t>
      </w:r>
    </w:p>
    <w:p w:rsidR="004515FC" w:rsidRDefault="004515FC" w:rsidP="004515FC">
      <w:pPr>
        <w:rPr>
          <w:sz w:val="17"/>
          <w:szCs w:val="17"/>
        </w:rPr>
      </w:pPr>
    </w:p>
    <w:p w:rsidR="004515FC" w:rsidRDefault="004515FC" w:rsidP="004515FC">
      <w:pPr>
        <w:jc w:val="both"/>
        <w:rPr>
          <w:sz w:val="17"/>
          <w:szCs w:val="17"/>
        </w:rPr>
      </w:pPr>
      <w:r>
        <w:rPr>
          <w:sz w:val="17"/>
          <w:szCs w:val="17"/>
        </w:rPr>
        <w:t xml:space="preserve">Pogodbena vrednost se obračunava za pretekli mesec. </w:t>
      </w:r>
      <w:r>
        <w:rPr>
          <w:color w:val="000000"/>
          <w:spacing w:val="2"/>
          <w:sz w:val="17"/>
          <w:szCs w:val="17"/>
        </w:rPr>
        <w:t xml:space="preserve">Mesečni račun izvajalec izstavi do 8. v mesecu za pretekli mesec. </w:t>
      </w:r>
      <w:r>
        <w:rPr>
          <w:sz w:val="17"/>
          <w:szCs w:val="17"/>
        </w:rPr>
        <w:t>Rok plačila je 30. dan in začne teči naslednji dan po prejemu pravilno izstavljenega računa. Računu mora biti priložena tabela o opravljenih urah tehnične podpore uporabnikom z datumom in opisom opravljenih nalog, enkrat letno pa se posreduje tudi seznam novosti in nadgradenj sistema.</w:t>
      </w:r>
    </w:p>
    <w:p w:rsidR="004515FC" w:rsidRDefault="004515FC" w:rsidP="004515FC"/>
    <w:p w:rsidR="00EA3CB2" w:rsidRDefault="00CF1A78" w:rsidP="004515FC">
      <w:pPr>
        <w:jc w:val="both"/>
      </w:pPr>
      <w:r>
        <w:t>Dne, __________________</w:t>
      </w:r>
    </w:p>
    <w:p w:rsidR="00CF1A78" w:rsidRDefault="00CF1A78" w:rsidP="004515FC">
      <w:pPr>
        <w:jc w:val="both"/>
      </w:pPr>
      <w:r>
        <w:t>Ponudnik:</w:t>
      </w:r>
    </w:p>
    <w:p w:rsidR="00CF1A78" w:rsidRPr="00485FF1" w:rsidRDefault="00CF1A78" w:rsidP="004515FC">
      <w:pPr>
        <w:jc w:val="both"/>
      </w:pPr>
      <w:r>
        <w:t>______________________</w:t>
      </w:r>
      <w:bookmarkStart w:id="1" w:name="_GoBack"/>
      <w:bookmarkEnd w:id="1"/>
    </w:p>
    <w:sectPr w:rsidR="00CF1A78" w:rsidRPr="00485FF1" w:rsidSect="004515FC">
      <w:footerReference w:type="even" r:id="rId9"/>
      <w:footerReference w:type="default" r:id="rId10"/>
      <w:headerReference w:type="first" r:id="rId11"/>
      <w:footerReference w:type="first" r:id="rId12"/>
      <w:pgSz w:w="11906" w:h="16838" w:code="9"/>
      <w:pgMar w:top="567" w:right="709" w:bottom="568" w:left="709" w:header="425"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4F" w:rsidRDefault="0070644F">
      <w:r>
        <w:separator/>
      </w:r>
    </w:p>
  </w:endnote>
  <w:endnote w:type="continuationSeparator" w:id="0">
    <w:p w:rsidR="0070644F" w:rsidRDefault="0070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7D80" w:rsidRDefault="002E7D80" w:rsidP="0016580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2E7D80" w:rsidP="007852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F1A78">
      <w:rPr>
        <w:rStyle w:val="tevilkastrani"/>
        <w:noProof/>
      </w:rPr>
      <w:t>2</w:t>
    </w:r>
    <w:r>
      <w:rPr>
        <w:rStyle w:val="tevilkastrani"/>
      </w:rPr>
      <w:fldChar w:fldCharType="end"/>
    </w:r>
  </w:p>
  <w:p w:rsidR="002E7D80" w:rsidRDefault="002E7D80" w:rsidP="00165809">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Default="004054EF" w:rsidP="009661BB">
    <w:pPr>
      <w:pStyle w:val="Noga"/>
      <w:tabs>
        <w:tab w:val="clear" w:pos="4536"/>
        <w:tab w:val="clear" w:pos="9072"/>
        <w:tab w:val="right" w:pos="10555"/>
      </w:tabs>
      <w:spacing w:before="120"/>
      <w:ind w:right="-62"/>
      <w:rPr>
        <w:rFonts w:cs="Arial"/>
        <w:i/>
        <w:noProof/>
        <w:sz w:val="14"/>
        <w:szCs w:val="14"/>
      </w:rPr>
    </w:pPr>
    <w:r>
      <w:rPr>
        <w:rFonts w:cs="Arial"/>
        <w:i/>
        <w:noProof/>
        <w:sz w:val="14"/>
        <w:szCs w:val="14"/>
      </w:rPr>
      <w:drawing>
        <wp:anchor distT="0" distB="0" distL="114300" distR="114300" simplePos="0" relativeHeight="251658240" behindDoc="1" locked="0" layoutInCell="1" allowOverlap="1" wp14:anchorId="7C73C998" wp14:editId="0109C5D5">
          <wp:simplePos x="0" y="0"/>
          <wp:positionH relativeFrom="column">
            <wp:posOffset>-3810</wp:posOffset>
          </wp:positionH>
          <wp:positionV relativeFrom="paragraph">
            <wp:posOffset>-135890</wp:posOffset>
          </wp:positionV>
          <wp:extent cx="6709410" cy="223520"/>
          <wp:effectExtent l="0" t="0" r="0" b="5080"/>
          <wp:wrapNone/>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223520"/>
                  </a:xfrm>
                  <a:prstGeom prst="rect">
                    <a:avLst/>
                  </a:prstGeom>
                  <a:noFill/>
                </pic:spPr>
              </pic:pic>
            </a:graphicData>
          </a:graphic>
          <wp14:sizeRelH relativeFrom="page">
            <wp14:pctWidth>0</wp14:pctWidth>
          </wp14:sizeRelH>
          <wp14:sizeRelV relativeFrom="page">
            <wp14:pctHeight>0</wp14:pctHeight>
          </wp14:sizeRelV>
        </wp:anchor>
      </w:drawing>
    </w:r>
  </w:p>
  <w:p w:rsidR="002E7D80" w:rsidRPr="00915F07" w:rsidRDefault="002E7D80" w:rsidP="009661BB">
    <w:pPr>
      <w:pStyle w:val="Noga"/>
      <w:tabs>
        <w:tab w:val="clear" w:pos="4536"/>
        <w:tab w:val="clear" w:pos="9072"/>
        <w:tab w:val="right" w:pos="10555"/>
      </w:tabs>
      <w:spacing w:before="40"/>
      <w:ind w:right="-62"/>
      <w:rPr>
        <w:rFonts w:cs="Arial"/>
        <w:noProof/>
        <w:sz w:val="16"/>
        <w:szCs w:val="16"/>
      </w:rPr>
    </w:pPr>
    <w:r>
      <w:rPr>
        <w:rFonts w:cs="Arial"/>
        <w:noProof/>
        <w:sz w:val="16"/>
        <w:szCs w:val="16"/>
      </w:rPr>
      <w:tab/>
    </w:r>
    <w:r w:rsidRPr="00915F07">
      <w:rPr>
        <w:rFonts w:cs="Arial"/>
        <w:noProof/>
        <w:sz w:val="16"/>
        <w:szCs w:val="16"/>
      </w:rPr>
      <w:fldChar w:fldCharType="begin"/>
    </w:r>
    <w:r w:rsidRPr="00915F07">
      <w:rPr>
        <w:rFonts w:cs="Arial"/>
        <w:noProof/>
        <w:sz w:val="16"/>
        <w:szCs w:val="16"/>
      </w:rPr>
      <w:instrText xml:space="preserve"> PAGE   \* MERGEFORMAT </w:instrText>
    </w:r>
    <w:r w:rsidRPr="00915F07">
      <w:rPr>
        <w:rFonts w:cs="Arial"/>
        <w:noProof/>
        <w:sz w:val="16"/>
        <w:szCs w:val="16"/>
      </w:rPr>
      <w:fldChar w:fldCharType="separate"/>
    </w:r>
    <w:r w:rsidR="0070644F">
      <w:rPr>
        <w:rFonts w:cs="Arial"/>
        <w:noProof/>
        <w:sz w:val="16"/>
        <w:szCs w:val="16"/>
      </w:rPr>
      <w:t>1</w:t>
    </w:r>
    <w:r w:rsidRPr="00915F07">
      <w:rPr>
        <w:rFonts w:cs="Arial"/>
        <w:noProof/>
        <w:sz w:val="16"/>
        <w:szCs w:val="16"/>
      </w:rPr>
      <w:fldChar w:fldCharType="end"/>
    </w:r>
    <w:r w:rsidRPr="00915F07">
      <w:rPr>
        <w:rFonts w:cs="Arial"/>
        <w:noProof/>
        <w:sz w:val="16"/>
        <w:szCs w:val="16"/>
      </w:rPr>
      <w:t>/</w:t>
    </w:r>
    <w:r w:rsidRPr="00915F07">
      <w:rPr>
        <w:rFonts w:cs="Arial"/>
        <w:noProof/>
        <w:sz w:val="16"/>
        <w:szCs w:val="16"/>
      </w:rPr>
      <w:fldChar w:fldCharType="begin"/>
    </w:r>
    <w:r w:rsidRPr="00915F07">
      <w:rPr>
        <w:rFonts w:cs="Arial"/>
        <w:noProof/>
        <w:sz w:val="16"/>
        <w:szCs w:val="16"/>
      </w:rPr>
      <w:instrText xml:space="preserve"> NUMPAGES   \* MERGEFORMAT </w:instrText>
    </w:r>
    <w:r w:rsidRPr="00915F07">
      <w:rPr>
        <w:rFonts w:cs="Arial"/>
        <w:noProof/>
        <w:sz w:val="16"/>
        <w:szCs w:val="16"/>
      </w:rPr>
      <w:fldChar w:fldCharType="separate"/>
    </w:r>
    <w:r w:rsidR="0070644F">
      <w:rPr>
        <w:rFonts w:cs="Arial"/>
        <w:noProof/>
        <w:sz w:val="16"/>
        <w:szCs w:val="16"/>
      </w:rPr>
      <w:t>1</w:t>
    </w:r>
    <w:r w:rsidRPr="00915F07">
      <w:rPr>
        <w:rFonts w:cs="Arial"/>
        <w:noProof/>
        <w:sz w:val="16"/>
        <w:szCs w:val="16"/>
      </w:rPr>
      <w:fldChar w:fldCharType="end"/>
    </w:r>
  </w:p>
  <w:p w:rsidR="002E7D80" w:rsidRDefault="002E7D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4F" w:rsidRDefault="0070644F">
      <w:r>
        <w:separator/>
      </w:r>
    </w:p>
  </w:footnote>
  <w:footnote w:type="continuationSeparator" w:id="0">
    <w:p w:rsidR="0070644F" w:rsidRDefault="0070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80" w:rsidRPr="00EB4B0E" w:rsidRDefault="004054EF" w:rsidP="009661BB">
    <w:pPr>
      <w:pStyle w:val="Glava"/>
    </w:pPr>
    <w:r>
      <w:rPr>
        <w:noProof/>
        <w:lang w:eastAsia="sl-SI"/>
      </w:rPr>
      <w:drawing>
        <wp:anchor distT="0" distB="0" distL="114300" distR="114300" simplePos="0" relativeHeight="251657216" behindDoc="1" locked="0" layoutInCell="1" allowOverlap="1">
          <wp:simplePos x="0" y="0"/>
          <wp:positionH relativeFrom="column">
            <wp:posOffset>39370</wp:posOffset>
          </wp:positionH>
          <wp:positionV relativeFrom="paragraph">
            <wp:posOffset>-3810</wp:posOffset>
          </wp:positionV>
          <wp:extent cx="6656070" cy="819150"/>
          <wp:effectExtent l="0" t="0" r="0" b="0"/>
          <wp:wrapNone/>
          <wp:docPr id="1" name="Slika 1"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D80" w:rsidRPr="009661BB" w:rsidRDefault="002E7D80" w:rsidP="009661B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D22CBE"/>
    <w:multiLevelType w:val="multilevel"/>
    <w:tmpl w:val="5E3E0BDA"/>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C4433C"/>
    <w:multiLevelType w:val="hybridMultilevel"/>
    <w:tmpl w:val="E34EA660"/>
    <w:lvl w:ilvl="0" w:tplc="01FC6194">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5">
    <w:nsid w:val="3CF12D00"/>
    <w:multiLevelType w:val="hybridMultilevel"/>
    <w:tmpl w:val="D12E8B9E"/>
    <w:lvl w:ilvl="0" w:tplc="323A265A">
      <w:numFmt w:val="bullet"/>
      <w:lvlText w:val="-"/>
      <w:lvlJc w:val="left"/>
      <w:pPr>
        <w:tabs>
          <w:tab w:val="num" w:pos="720"/>
        </w:tabs>
        <w:ind w:left="720" w:hanging="360"/>
      </w:pPr>
      <w:rPr>
        <w:rFonts w:ascii="Times New Roman" w:eastAsia="Times New Roman" w:hAnsi="Times New Roman" w:cs="Times New Roman" w:hint="default"/>
      </w:rPr>
    </w:lvl>
    <w:lvl w:ilvl="1" w:tplc="9E081494" w:tentative="1">
      <w:start w:val="1"/>
      <w:numFmt w:val="bullet"/>
      <w:lvlText w:val="o"/>
      <w:lvlJc w:val="left"/>
      <w:pPr>
        <w:tabs>
          <w:tab w:val="num" w:pos="1440"/>
        </w:tabs>
        <w:ind w:left="1440" w:hanging="360"/>
      </w:pPr>
      <w:rPr>
        <w:rFonts w:ascii="Courier New" w:hAnsi="Courier New" w:hint="default"/>
      </w:rPr>
    </w:lvl>
    <w:lvl w:ilvl="2" w:tplc="D7AED18C" w:tentative="1">
      <w:start w:val="1"/>
      <w:numFmt w:val="bullet"/>
      <w:lvlText w:val=""/>
      <w:lvlJc w:val="left"/>
      <w:pPr>
        <w:tabs>
          <w:tab w:val="num" w:pos="2160"/>
        </w:tabs>
        <w:ind w:left="2160" w:hanging="360"/>
      </w:pPr>
      <w:rPr>
        <w:rFonts w:ascii="Wingdings" w:hAnsi="Wingdings" w:hint="default"/>
      </w:rPr>
    </w:lvl>
    <w:lvl w:ilvl="3" w:tplc="6F9AC61C" w:tentative="1">
      <w:start w:val="1"/>
      <w:numFmt w:val="bullet"/>
      <w:lvlText w:val=""/>
      <w:lvlJc w:val="left"/>
      <w:pPr>
        <w:tabs>
          <w:tab w:val="num" w:pos="2880"/>
        </w:tabs>
        <w:ind w:left="2880" w:hanging="360"/>
      </w:pPr>
      <w:rPr>
        <w:rFonts w:ascii="Symbol" w:hAnsi="Symbol" w:hint="default"/>
      </w:rPr>
    </w:lvl>
    <w:lvl w:ilvl="4" w:tplc="CC429626" w:tentative="1">
      <w:start w:val="1"/>
      <w:numFmt w:val="bullet"/>
      <w:lvlText w:val="o"/>
      <w:lvlJc w:val="left"/>
      <w:pPr>
        <w:tabs>
          <w:tab w:val="num" w:pos="3600"/>
        </w:tabs>
        <w:ind w:left="3600" w:hanging="360"/>
      </w:pPr>
      <w:rPr>
        <w:rFonts w:ascii="Courier New" w:hAnsi="Courier New" w:hint="default"/>
      </w:rPr>
    </w:lvl>
    <w:lvl w:ilvl="5" w:tplc="9D2C0B44" w:tentative="1">
      <w:start w:val="1"/>
      <w:numFmt w:val="bullet"/>
      <w:lvlText w:val=""/>
      <w:lvlJc w:val="left"/>
      <w:pPr>
        <w:tabs>
          <w:tab w:val="num" w:pos="4320"/>
        </w:tabs>
        <w:ind w:left="4320" w:hanging="360"/>
      </w:pPr>
      <w:rPr>
        <w:rFonts w:ascii="Wingdings" w:hAnsi="Wingdings" w:hint="default"/>
      </w:rPr>
    </w:lvl>
    <w:lvl w:ilvl="6" w:tplc="9F32C5D2" w:tentative="1">
      <w:start w:val="1"/>
      <w:numFmt w:val="bullet"/>
      <w:lvlText w:val=""/>
      <w:lvlJc w:val="left"/>
      <w:pPr>
        <w:tabs>
          <w:tab w:val="num" w:pos="5040"/>
        </w:tabs>
        <w:ind w:left="5040" w:hanging="360"/>
      </w:pPr>
      <w:rPr>
        <w:rFonts w:ascii="Symbol" w:hAnsi="Symbol" w:hint="default"/>
      </w:rPr>
    </w:lvl>
    <w:lvl w:ilvl="7" w:tplc="AD66D536" w:tentative="1">
      <w:start w:val="1"/>
      <w:numFmt w:val="bullet"/>
      <w:lvlText w:val="o"/>
      <w:lvlJc w:val="left"/>
      <w:pPr>
        <w:tabs>
          <w:tab w:val="num" w:pos="5760"/>
        </w:tabs>
        <w:ind w:left="5760" w:hanging="360"/>
      </w:pPr>
      <w:rPr>
        <w:rFonts w:ascii="Courier New" w:hAnsi="Courier New" w:hint="default"/>
      </w:rPr>
    </w:lvl>
    <w:lvl w:ilvl="8" w:tplc="265C1D44" w:tentative="1">
      <w:start w:val="1"/>
      <w:numFmt w:val="bullet"/>
      <w:lvlText w:val=""/>
      <w:lvlJc w:val="left"/>
      <w:pPr>
        <w:tabs>
          <w:tab w:val="num" w:pos="6480"/>
        </w:tabs>
        <w:ind w:left="6480" w:hanging="360"/>
      </w:pPr>
      <w:rPr>
        <w:rFonts w:ascii="Wingdings" w:hAnsi="Wingdings" w:hint="default"/>
      </w:rPr>
    </w:lvl>
  </w:abstractNum>
  <w:abstractNum w:abstractNumId="6">
    <w:nsid w:val="3EC663B0"/>
    <w:multiLevelType w:val="hybridMultilevel"/>
    <w:tmpl w:val="99D637B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5"/>
  </w:num>
  <w:num w:numId="2">
    <w:abstractNumId w:val="3"/>
  </w:num>
  <w:num w:numId="3">
    <w:abstractNumId w:val="3"/>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C9"/>
    <w:rsid w:val="0002140F"/>
    <w:rsid w:val="00060B7E"/>
    <w:rsid w:val="000F61CF"/>
    <w:rsid w:val="001217CF"/>
    <w:rsid w:val="001257AE"/>
    <w:rsid w:val="00165809"/>
    <w:rsid w:val="001675DD"/>
    <w:rsid w:val="001A4789"/>
    <w:rsid w:val="001C02FC"/>
    <w:rsid w:val="00200BD0"/>
    <w:rsid w:val="0021626F"/>
    <w:rsid w:val="002234F5"/>
    <w:rsid w:val="002E7D80"/>
    <w:rsid w:val="002F59A6"/>
    <w:rsid w:val="003C6264"/>
    <w:rsid w:val="003E22C4"/>
    <w:rsid w:val="003F30AC"/>
    <w:rsid w:val="004054EF"/>
    <w:rsid w:val="0041334C"/>
    <w:rsid w:val="00425696"/>
    <w:rsid w:val="004515FC"/>
    <w:rsid w:val="004637F6"/>
    <w:rsid w:val="00472D6F"/>
    <w:rsid w:val="00483B27"/>
    <w:rsid w:val="00485FF1"/>
    <w:rsid w:val="004A1DF7"/>
    <w:rsid w:val="00522737"/>
    <w:rsid w:val="00542140"/>
    <w:rsid w:val="00587F32"/>
    <w:rsid w:val="005B231B"/>
    <w:rsid w:val="00634877"/>
    <w:rsid w:val="00636998"/>
    <w:rsid w:val="006D2FB2"/>
    <w:rsid w:val="006E7279"/>
    <w:rsid w:val="0070644F"/>
    <w:rsid w:val="00713D27"/>
    <w:rsid w:val="0074731E"/>
    <w:rsid w:val="007574A0"/>
    <w:rsid w:val="0078525D"/>
    <w:rsid w:val="00856891"/>
    <w:rsid w:val="008E7D7F"/>
    <w:rsid w:val="009106C9"/>
    <w:rsid w:val="00950F5E"/>
    <w:rsid w:val="00961386"/>
    <w:rsid w:val="009661BB"/>
    <w:rsid w:val="00A0345A"/>
    <w:rsid w:val="00A14B85"/>
    <w:rsid w:val="00A91314"/>
    <w:rsid w:val="00AD0A8C"/>
    <w:rsid w:val="00B22F71"/>
    <w:rsid w:val="00B43360"/>
    <w:rsid w:val="00B85551"/>
    <w:rsid w:val="00BA256A"/>
    <w:rsid w:val="00BC3A0E"/>
    <w:rsid w:val="00C819FA"/>
    <w:rsid w:val="00C83C04"/>
    <w:rsid w:val="00CF1A78"/>
    <w:rsid w:val="00D15FAA"/>
    <w:rsid w:val="00D409DE"/>
    <w:rsid w:val="00D4581B"/>
    <w:rsid w:val="00D45903"/>
    <w:rsid w:val="00D96DC1"/>
    <w:rsid w:val="00DE4831"/>
    <w:rsid w:val="00E12870"/>
    <w:rsid w:val="00E51DE6"/>
    <w:rsid w:val="00EA3CB2"/>
    <w:rsid w:val="00EB2F48"/>
    <w:rsid w:val="00EC0B48"/>
    <w:rsid w:val="00F277DC"/>
    <w:rsid w:val="00FC5CF5"/>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9106C9"/>
    <w:rPr>
      <w:rFonts w:ascii="Arial" w:hAnsi="Arial" w:cs="Arial"/>
      <w:b/>
      <w:color w:val="000000"/>
      <w:sz w:val="28"/>
    </w:rPr>
  </w:style>
  <w:style w:type="character" w:styleId="Hiperpovezava">
    <w:name w:val="Hyperlink"/>
    <w:unhideWhenUsed/>
    <w:rsid w:val="009106C9"/>
    <w:rPr>
      <w:color w:val="0000FF"/>
      <w:u w:val="single"/>
    </w:rPr>
  </w:style>
  <w:style w:type="paragraph" w:styleId="Naslov">
    <w:name w:val="Title"/>
    <w:basedOn w:val="Navaden"/>
    <w:link w:val="NaslovZnak"/>
    <w:qFormat/>
    <w:rsid w:val="009106C9"/>
    <w:pPr>
      <w:jc w:val="center"/>
    </w:pPr>
    <w:rPr>
      <w:b/>
      <w:sz w:val="24"/>
    </w:rPr>
  </w:style>
  <w:style w:type="character" w:customStyle="1" w:styleId="NaslovZnak">
    <w:name w:val="Naslov Znak"/>
    <w:basedOn w:val="Privzetapisavaodstavka"/>
    <w:link w:val="Naslov"/>
    <w:rsid w:val="009106C9"/>
    <w:rPr>
      <w:rFonts w:ascii="Arial" w:hAnsi="Arial"/>
      <w:b/>
      <w:sz w:val="24"/>
    </w:rPr>
  </w:style>
  <w:style w:type="paragraph" w:styleId="Odstavekseznama">
    <w:name w:val="List Paragraph"/>
    <w:basedOn w:val="Navaden"/>
    <w:uiPriority w:val="34"/>
    <w:qFormat/>
    <w:rsid w:val="009106C9"/>
    <w:pPr>
      <w:ind w:left="708"/>
    </w:pPr>
    <w:rPr>
      <w:szCs w:val="24"/>
    </w:rPr>
  </w:style>
  <w:style w:type="paragraph" w:styleId="Besedilooblaka">
    <w:name w:val="Balloon Text"/>
    <w:basedOn w:val="Navaden"/>
    <w:link w:val="BesedilooblakaZnak"/>
    <w:rsid w:val="004054EF"/>
    <w:rPr>
      <w:rFonts w:ascii="Tahoma" w:hAnsi="Tahoma" w:cs="Tahoma"/>
      <w:sz w:val="16"/>
      <w:szCs w:val="16"/>
    </w:rPr>
  </w:style>
  <w:style w:type="character" w:customStyle="1" w:styleId="BesedilooblakaZnak">
    <w:name w:val="Besedilo oblačka Znak"/>
    <w:basedOn w:val="Privzetapisavaodstavka"/>
    <w:link w:val="Besedilooblaka"/>
    <w:rsid w:val="0040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Glava">
    <w:name w:val="header"/>
    <w:basedOn w:val="Navaden"/>
    <w:link w:val="GlavaZnak"/>
    <w:pPr>
      <w:tabs>
        <w:tab w:val="center" w:pos="4536"/>
        <w:tab w:val="right" w:pos="9072"/>
      </w:tabs>
      <w:jc w:val="both"/>
    </w:pPr>
    <w:rPr>
      <w:lang w:eastAsia="en-US"/>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Naslovpoiljatelja">
    <w:name w:val="envelope return"/>
    <w:basedOn w:val="Navaden"/>
    <w:rPr>
      <w:rFonts w:cs="Arial"/>
      <w:b/>
    </w:rPr>
  </w:style>
  <w:style w:type="paragraph" w:styleId="Noga">
    <w:name w:val="footer"/>
    <w:basedOn w:val="Navaden"/>
    <w:link w:val="NogaZnak"/>
    <w:pPr>
      <w:tabs>
        <w:tab w:val="center" w:pos="4536"/>
        <w:tab w:val="right" w:pos="9072"/>
      </w:tabs>
    </w:p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Glava1">
    <w:name w:val="Glava 1"/>
    <w:basedOn w:val="Navaden"/>
    <w:pPr>
      <w:spacing w:after="48"/>
      <w:ind w:firstLine="1627"/>
      <w:contextualSpacing/>
      <w:jc w:val="both"/>
    </w:pPr>
  </w:style>
  <w:style w:type="paragraph" w:customStyle="1" w:styleId="Poglavje1">
    <w:name w:val="Poglavje 1"/>
    <w:basedOn w:val="Telobesedila"/>
    <w:pPr>
      <w:numPr>
        <w:numId w:val="4"/>
      </w:numPr>
    </w:pPr>
    <w:rPr>
      <w:b/>
      <w:i/>
      <w:szCs w:val="24"/>
    </w:rPr>
  </w:style>
  <w:style w:type="paragraph" w:customStyle="1" w:styleId="Poglavje2">
    <w:name w:val="Poglavje 2"/>
    <w:basedOn w:val="Telobesedila"/>
    <w:pPr>
      <w:numPr>
        <w:ilvl w:val="1"/>
        <w:numId w:val="4"/>
      </w:numPr>
    </w:pPr>
    <w:rPr>
      <w:b/>
    </w:rPr>
  </w:style>
  <w:style w:type="paragraph" w:customStyle="1" w:styleId="Poglavje3">
    <w:name w:val="Poglavje 3"/>
    <w:basedOn w:val="Telobesedila"/>
    <w:pPr>
      <w:numPr>
        <w:ilvl w:val="2"/>
        <w:numId w:val="4"/>
      </w:numPr>
    </w:pPr>
    <w:rPr>
      <w:b/>
    </w:rPr>
  </w:style>
  <w:style w:type="character" w:styleId="tevilkastrani">
    <w:name w:val="page number"/>
    <w:basedOn w:val="Privzetapisavaodstavka"/>
    <w:rsid w:val="00165809"/>
  </w:style>
  <w:style w:type="character" w:customStyle="1" w:styleId="GlavaZnak">
    <w:name w:val="Glava Znak"/>
    <w:link w:val="Glava"/>
    <w:rsid w:val="009661BB"/>
    <w:rPr>
      <w:rFonts w:ascii="Arial" w:hAnsi="Arial"/>
      <w:lang w:val="sl-SI" w:eastAsia="en-US" w:bidi="ar-SA"/>
    </w:rPr>
  </w:style>
  <w:style w:type="character" w:customStyle="1" w:styleId="NogaZnak">
    <w:name w:val="Noga Znak"/>
    <w:link w:val="Noga"/>
    <w:rsid w:val="009661BB"/>
    <w:rPr>
      <w:rFonts w:ascii="Arial" w:hAnsi="Arial"/>
      <w:lang w:val="sl-SI" w:eastAsia="sl-SI" w:bidi="ar-SA"/>
    </w:rPr>
  </w:style>
  <w:style w:type="character" w:customStyle="1" w:styleId="Naslov1Znak">
    <w:name w:val="Naslov 1 Znak"/>
    <w:link w:val="Naslov1"/>
    <w:rsid w:val="009106C9"/>
    <w:rPr>
      <w:rFonts w:ascii="Arial" w:hAnsi="Arial" w:cs="Arial"/>
      <w:b/>
      <w:color w:val="000000"/>
      <w:sz w:val="28"/>
    </w:rPr>
  </w:style>
  <w:style w:type="character" w:styleId="Hiperpovezava">
    <w:name w:val="Hyperlink"/>
    <w:unhideWhenUsed/>
    <w:rsid w:val="009106C9"/>
    <w:rPr>
      <w:color w:val="0000FF"/>
      <w:u w:val="single"/>
    </w:rPr>
  </w:style>
  <w:style w:type="paragraph" w:styleId="Naslov">
    <w:name w:val="Title"/>
    <w:basedOn w:val="Navaden"/>
    <w:link w:val="NaslovZnak"/>
    <w:qFormat/>
    <w:rsid w:val="009106C9"/>
    <w:pPr>
      <w:jc w:val="center"/>
    </w:pPr>
    <w:rPr>
      <w:b/>
      <w:sz w:val="24"/>
    </w:rPr>
  </w:style>
  <w:style w:type="character" w:customStyle="1" w:styleId="NaslovZnak">
    <w:name w:val="Naslov Znak"/>
    <w:basedOn w:val="Privzetapisavaodstavka"/>
    <w:link w:val="Naslov"/>
    <w:rsid w:val="009106C9"/>
    <w:rPr>
      <w:rFonts w:ascii="Arial" w:hAnsi="Arial"/>
      <w:b/>
      <w:sz w:val="24"/>
    </w:rPr>
  </w:style>
  <w:style w:type="paragraph" w:styleId="Odstavekseznama">
    <w:name w:val="List Paragraph"/>
    <w:basedOn w:val="Navaden"/>
    <w:uiPriority w:val="34"/>
    <w:qFormat/>
    <w:rsid w:val="009106C9"/>
    <w:pPr>
      <w:ind w:left="708"/>
    </w:pPr>
    <w:rPr>
      <w:szCs w:val="24"/>
    </w:rPr>
  </w:style>
  <w:style w:type="paragraph" w:styleId="Besedilooblaka">
    <w:name w:val="Balloon Text"/>
    <w:basedOn w:val="Navaden"/>
    <w:link w:val="BesedilooblakaZnak"/>
    <w:rsid w:val="004054EF"/>
    <w:rPr>
      <w:rFonts w:ascii="Tahoma" w:hAnsi="Tahoma" w:cs="Tahoma"/>
      <w:sz w:val="16"/>
      <w:szCs w:val="16"/>
    </w:rPr>
  </w:style>
  <w:style w:type="character" w:customStyle="1" w:styleId="BesedilooblakaZnak">
    <w:name w:val="Besedilo oblačka Znak"/>
    <w:basedOn w:val="Privzetapisavaodstavka"/>
    <w:link w:val="Besedilooblaka"/>
    <w:rsid w:val="00405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0377">
      <w:bodyDiv w:val="1"/>
      <w:marLeft w:val="0"/>
      <w:marRight w:val="0"/>
      <w:marTop w:val="0"/>
      <w:marBottom w:val="0"/>
      <w:divBdr>
        <w:top w:val="none" w:sz="0" w:space="0" w:color="auto"/>
        <w:left w:val="none" w:sz="0" w:space="0" w:color="auto"/>
        <w:bottom w:val="none" w:sz="0" w:space="0" w:color="auto"/>
        <w:right w:val="none" w:sz="0" w:space="0" w:color="auto"/>
      </w:divBdr>
    </w:div>
    <w:div w:id="2087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enje.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elebaze\JANA2009\Dokumenti\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Template>
  <TotalTime>1</TotalTime>
  <Pages>2</Pages>
  <Words>868</Words>
  <Characters>4948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JANA Dokument</vt:lpstr>
      <vt:lpstr>Predloga</vt:lpstr>
    </vt:vector>
  </TitlesOfParts>
  <Company>Ascent d.o.o.</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JANA Dokument</dc:title>
  <dc:creator>Ksenija Dren</dc:creator>
  <dc:description>Dokument ustvarjen s programom JANA (Javna Naročila).</dc:description>
  <cp:lastModifiedBy>Ksenija Dren</cp:lastModifiedBy>
  <cp:revision>7</cp:revision>
  <cp:lastPrinted>2013-12-04T17:33:00Z</cp:lastPrinted>
  <dcterms:created xsi:type="dcterms:W3CDTF">2013-12-04T16:54:00Z</dcterms:created>
  <dcterms:modified xsi:type="dcterms:W3CDTF">2013-12-09T08:33:00Z</dcterms:modified>
</cp:coreProperties>
</file>